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4DA99">
      <w:pPr>
        <w:spacing w:line="62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11</w:t>
      </w:r>
      <w:bookmarkStart w:id="0" w:name="_GoBack"/>
      <w:bookmarkEnd w:id="0"/>
    </w:p>
    <w:p w14:paraId="358491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/>
          <w:bCs/>
          <w:spacing w:val="3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3"/>
          <w:sz w:val="44"/>
          <w:szCs w:val="44"/>
          <w:lang w:val="en-US" w:eastAsia="zh-CN"/>
        </w:rPr>
        <w:t>广西医科大学学生社团指导教师工作考核指标体系</w:t>
      </w:r>
    </w:p>
    <w:p w14:paraId="1048ADFE">
      <w:pPr>
        <w:spacing w:line="152" w:lineRule="exact"/>
      </w:pPr>
    </w:p>
    <w:tbl>
      <w:tblPr>
        <w:tblStyle w:val="7"/>
        <w:tblpPr w:leftFromText="180" w:rightFromText="180" w:vertAnchor="text" w:horzAnchor="page" w:tblpX="863" w:tblpY="158"/>
        <w:tblOverlap w:val="never"/>
        <w:tblW w:w="1508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933"/>
        <w:gridCol w:w="746"/>
        <w:gridCol w:w="4559"/>
        <w:gridCol w:w="4365"/>
        <w:gridCol w:w="3645"/>
      </w:tblGrid>
      <w:tr w14:paraId="46E88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2" w:type="dxa"/>
            <w:vMerge w:val="restart"/>
            <w:tcBorders>
              <w:bottom w:val="nil"/>
            </w:tcBorders>
            <w:vAlign w:val="top"/>
          </w:tcPr>
          <w:p w14:paraId="3AFBC8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一级 指标</w:t>
            </w:r>
          </w:p>
        </w:tc>
        <w:tc>
          <w:tcPr>
            <w:tcW w:w="933" w:type="dxa"/>
            <w:vMerge w:val="restart"/>
            <w:tcBorders>
              <w:bottom w:val="nil"/>
            </w:tcBorders>
            <w:vAlign w:val="top"/>
          </w:tcPr>
          <w:p w14:paraId="7FFA59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二级</w:t>
            </w:r>
          </w:p>
          <w:p w14:paraId="2E2E55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指标</w:t>
            </w:r>
          </w:p>
        </w:tc>
        <w:tc>
          <w:tcPr>
            <w:tcW w:w="746" w:type="dxa"/>
            <w:vMerge w:val="restart"/>
            <w:tcBorders>
              <w:bottom w:val="nil"/>
            </w:tcBorders>
            <w:vAlign w:val="top"/>
          </w:tcPr>
          <w:p w14:paraId="2E02C1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分值</w:t>
            </w:r>
          </w:p>
        </w:tc>
        <w:tc>
          <w:tcPr>
            <w:tcW w:w="12569" w:type="dxa"/>
            <w:gridSpan w:val="3"/>
            <w:vAlign w:val="top"/>
          </w:tcPr>
          <w:p w14:paraId="728DF5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考核等级标准</w:t>
            </w:r>
          </w:p>
        </w:tc>
      </w:tr>
      <w:tr w14:paraId="63B175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2" w:type="dxa"/>
            <w:vMerge w:val="continue"/>
            <w:tcBorders>
              <w:top w:val="nil"/>
            </w:tcBorders>
            <w:vAlign w:val="top"/>
          </w:tcPr>
          <w:p w14:paraId="088C5A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nil"/>
            </w:tcBorders>
            <w:vAlign w:val="top"/>
          </w:tcPr>
          <w:p w14:paraId="09004A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746" w:type="dxa"/>
            <w:vMerge w:val="continue"/>
            <w:tcBorders>
              <w:top w:val="nil"/>
            </w:tcBorders>
            <w:vAlign w:val="top"/>
          </w:tcPr>
          <w:p w14:paraId="12C88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4559" w:type="dxa"/>
            <w:vAlign w:val="top"/>
          </w:tcPr>
          <w:p w14:paraId="38AA11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优秀</w:t>
            </w:r>
          </w:p>
        </w:tc>
        <w:tc>
          <w:tcPr>
            <w:tcW w:w="4365" w:type="dxa"/>
            <w:vAlign w:val="top"/>
          </w:tcPr>
          <w:p w14:paraId="084984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合格</w:t>
            </w:r>
          </w:p>
        </w:tc>
        <w:tc>
          <w:tcPr>
            <w:tcW w:w="3645" w:type="dxa"/>
            <w:vAlign w:val="top"/>
          </w:tcPr>
          <w:p w14:paraId="35D691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不合格</w:t>
            </w:r>
          </w:p>
        </w:tc>
      </w:tr>
      <w:tr w14:paraId="373D92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6" w:hRule="atLeast"/>
        </w:trPr>
        <w:tc>
          <w:tcPr>
            <w:tcW w:w="832" w:type="dxa"/>
            <w:vAlign w:val="top"/>
          </w:tcPr>
          <w:p w14:paraId="27C4BF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</w:pPr>
          </w:p>
          <w:p w14:paraId="0FD531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  <w:t>一、</w:t>
            </w:r>
          </w:p>
          <w:p w14:paraId="07C070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  <w:t>基本</w:t>
            </w:r>
          </w:p>
          <w:p w14:paraId="223BC2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素质</w:t>
            </w:r>
          </w:p>
        </w:tc>
        <w:tc>
          <w:tcPr>
            <w:tcW w:w="933" w:type="dxa"/>
            <w:vAlign w:val="center"/>
          </w:tcPr>
          <w:p w14:paraId="5209C2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政治</w:t>
            </w:r>
          </w:p>
          <w:p w14:paraId="47783C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素质</w:t>
            </w:r>
          </w:p>
          <w:p w14:paraId="3F2DAE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与</w:t>
            </w:r>
          </w:p>
          <w:p w14:paraId="76DDFB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品德</w:t>
            </w:r>
          </w:p>
          <w:p w14:paraId="4B7579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素养</w:t>
            </w:r>
          </w:p>
        </w:tc>
        <w:tc>
          <w:tcPr>
            <w:tcW w:w="746" w:type="dxa"/>
            <w:vAlign w:val="center"/>
          </w:tcPr>
          <w:p w14:paraId="073536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20</w:t>
            </w:r>
          </w:p>
        </w:tc>
        <w:tc>
          <w:tcPr>
            <w:tcW w:w="4559" w:type="dxa"/>
            <w:vAlign w:val="center"/>
          </w:tcPr>
          <w:p w14:paraId="7B0F94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思想政治素质高、组织观念强、注意自身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修养、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以身作则、为人师表。爱岗敬业、事业心强、责任感强。</w:t>
            </w:r>
          </w:p>
        </w:tc>
        <w:tc>
          <w:tcPr>
            <w:tcW w:w="4365" w:type="dxa"/>
            <w:vAlign w:val="center"/>
          </w:tcPr>
          <w:p w14:paraId="76C01D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具备基本的思想政治素质，有较强的组织观念，注重以身作则、为人师表。</w:t>
            </w:r>
          </w:p>
          <w:p w14:paraId="35E3A2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能按时完成各项任务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645" w:type="dxa"/>
            <w:vAlign w:val="center"/>
          </w:tcPr>
          <w:p w14:paraId="08BE4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不具备基本的思想政治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素质，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不能以身作则、为人师表。责任心不强，不能按时完成上级布置的各项任务或工作不符合要求。</w:t>
            </w:r>
          </w:p>
        </w:tc>
      </w:tr>
      <w:tr w14:paraId="049090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832" w:type="dxa"/>
            <w:vMerge w:val="restart"/>
            <w:tcBorders>
              <w:bottom w:val="nil"/>
            </w:tcBorders>
            <w:vAlign w:val="top"/>
          </w:tcPr>
          <w:p w14:paraId="6CA716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</w:p>
          <w:p w14:paraId="160562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</w:p>
          <w:p w14:paraId="0035D5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</w:p>
          <w:p w14:paraId="2E998F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</w:p>
          <w:p w14:paraId="064FC8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</w:p>
          <w:p w14:paraId="31696B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  <w:t>二、</w:t>
            </w:r>
          </w:p>
          <w:p w14:paraId="772F93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  <w:t>组织</w:t>
            </w:r>
          </w:p>
          <w:p w14:paraId="66074D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  <w:t>建设</w:t>
            </w:r>
          </w:p>
        </w:tc>
        <w:tc>
          <w:tcPr>
            <w:tcW w:w="933" w:type="dxa"/>
            <w:vAlign w:val="center"/>
          </w:tcPr>
          <w:p w14:paraId="5776AA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社团</w:t>
            </w:r>
          </w:p>
          <w:p w14:paraId="014D0B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4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发展</w:t>
            </w:r>
          </w:p>
          <w:p w14:paraId="6505DC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5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指导</w:t>
            </w:r>
          </w:p>
        </w:tc>
        <w:tc>
          <w:tcPr>
            <w:tcW w:w="746" w:type="dxa"/>
            <w:vAlign w:val="center"/>
          </w:tcPr>
          <w:p w14:paraId="4805C07D">
            <w:pPr>
              <w:spacing w:before="75" w:line="180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10</w:t>
            </w:r>
          </w:p>
        </w:tc>
        <w:tc>
          <w:tcPr>
            <w:tcW w:w="4559" w:type="dxa"/>
            <w:vAlign w:val="center"/>
          </w:tcPr>
          <w:p w14:paraId="5A843D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社团指导教师耐心细致指导学生社团规划社团发展，指导社团制定工作计划、规章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制度，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确定工作重点并做好工作总结。</w:t>
            </w:r>
          </w:p>
        </w:tc>
        <w:tc>
          <w:tcPr>
            <w:tcW w:w="4365" w:type="dxa"/>
            <w:vAlign w:val="center"/>
          </w:tcPr>
          <w:p w14:paraId="20E4E1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能基本做到指导学生社团规划社团发展，指导社团制定工作计划、规章制度，确定工作重点并做好工作总结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645" w:type="dxa"/>
            <w:vAlign w:val="center"/>
          </w:tcPr>
          <w:p w14:paraId="722F4D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不能指导学生社团做好工作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计划、</w:t>
            </w:r>
            <w:r>
              <w:rPr>
                <w:rFonts w:hint="eastAsia" w:ascii="仿宋" w:hAnsi="仿宋" w:eastAsia="仿宋" w:cs="仿宋"/>
                <w:spacing w:val="-15"/>
                <w:sz w:val="24"/>
                <w:szCs w:val="24"/>
              </w:rPr>
              <w:t>工作重点、工作总结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和相应的规章制度。</w:t>
            </w:r>
          </w:p>
        </w:tc>
      </w:tr>
      <w:tr w14:paraId="6E43ED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5" w:hRule="atLeast"/>
        </w:trPr>
        <w:tc>
          <w:tcPr>
            <w:tcW w:w="832" w:type="dxa"/>
            <w:vMerge w:val="continue"/>
            <w:tcBorders>
              <w:top w:val="nil"/>
              <w:bottom w:val="nil"/>
            </w:tcBorders>
            <w:vAlign w:val="top"/>
          </w:tcPr>
          <w:p w14:paraId="2BE31A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2EC3E0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社团</w:t>
            </w:r>
          </w:p>
          <w:p w14:paraId="78BC74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4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建设</w:t>
            </w:r>
          </w:p>
        </w:tc>
        <w:tc>
          <w:tcPr>
            <w:tcW w:w="746" w:type="dxa"/>
            <w:vAlign w:val="center"/>
          </w:tcPr>
          <w:p w14:paraId="218D83A0">
            <w:pPr>
              <w:spacing w:before="75" w:line="180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10</w:t>
            </w:r>
          </w:p>
        </w:tc>
        <w:tc>
          <w:tcPr>
            <w:tcW w:w="4559" w:type="dxa"/>
            <w:vAlign w:val="center"/>
          </w:tcPr>
          <w:p w14:paraId="0889159A">
            <w:pPr>
              <w:spacing w:before="34"/>
              <w:ind w:left="117" w:right="104" w:firstLine="4"/>
              <w:jc w:val="left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社团指导教师积极参与学生社团的建设和管理，指导社团成员安排好课外活动，提高他们的综合素质，增强集体观念和集体荣誉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社团组织观念强，凝聚力强，骨干和成员听从指挥。社团按要求完成登记注册和年审。</w:t>
            </w:r>
          </w:p>
        </w:tc>
        <w:tc>
          <w:tcPr>
            <w:tcW w:w="4365" w:type="dxa"/>
            <w:vAlign w:val="center"/>
          </w:tcPr>
          <w:p w14:paraId="6A3AFDBA">
            <w:pPr>
              <w:spacing w:before="34"/>
              <w:ind w:left="117" w:right="104" w:firstLine="4"/>
              <w:jc w:val="left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社团有基本的组织观念，服从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管理。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社团按要求完成登记注册和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审。</w:t>
            </w:r>
          </w:p>
        </w:tc>
        <w:tc>
          <w:tcPr>
            <w:tcW w:w="3645" w:type="dxa"/>
            <w:vAlign w:val="center"/>
          </w:tcPr>
          <w:p w14:paraId="6C961B65">
            <w:pPr>
              <w:spacing w:before="34"/>
              <w:ind w:left="117" w:right="104" w:firstLine="4"/>
              <w:jc w:val="left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不抓社团建设。</w:t>
            </w:r>
          </w:p>
          <w:p w14:paraId="1CC02ECF">
            <w:pPr>
              <w:spacing w:before="34"/>
              <w:ind w:left="117" w:right="104" w:firstLine="4"/>
              <w:jc w:val="left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社团不能按要求完成登记注册和年审。</w:t>
            </w:r>
          </w:p>
        </w:tc>
      </w:tr>
      <w:tr w14:paraId="53411A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832" w:type="dxa"/>
            <w:vMerge w:val="continue"/>
            <w:tcBorders>
              <w:top w:val="nil"/>
            </w:tcBorders>
            <w:vAlign w:val="top"/>
          </w:tcPr>
          <w:p w14:paraId="619849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41C992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队伍</w:t>
            </w:r>
          </w:p>
          <w:p w14:paraId="3A3598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4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建设</w:t>
            </w:r>
          </w:p>
        </w:tc>
        <w:tc>
          <w:tcPr>
            <w:tcW w:w="746" w:type="dxa"/>
            <w:vAlign w:val="center"/>
          </w:tcPr>
          <w:p w14:paraId="013D5063">
            <w:pPr>
              <w:spacing w:before="75" w:line="180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10</w:t>
            </w:r>
          </w:p>
        </w:tc>
        <w:tc>
          <w:tcPr>
            <w:tcW w:w="4559" w:type="dxa"/>
            <w:vAlign w:val="center"/>
          </w:tcPr>
          <w:p w14:paraId="72BA2D8F">
            <w:pPr>
              <w:spacing w:before="34"/>
              <w:ind w:left="117" w:right="104" w:firstLine="4"/>
              <w:jc w:val="left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选拔和培养好学生社团骨干，遴选好社团负责人，抓好队伍建设，队伍战斗力强。</w:t>
            </w:r>
          </w:p>
        </w:tc>
        <w:tc>
          <w:tcPr>
            <w:tcW w:w="4365" w:type="dxa"/>
            <w:vAlign w:val="center"/>
          </w:tcPr>
          <w:p w14:paraId="1EF63281">
            <w:pPr>
              <w:spacing w:before="34"/>
              <w:ind w:left="117" w:right="104" w:firstLine="4"/>
              <w:jc w:val="left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社团按时换届。</w:t>
            </w:r>
          </w:p>
        </w:tc>
        <w:tc>
          <w:tcPr>
            <w:tcW w:w="3645" w:type="dxa"/>
            <w:vAlign w:val="center"/>
          </w:tcPr>
          <w:p w14:paraId="5C1738E0">
            <w:pPr>
              <w:spacing w:before="34"/>
              <w:ind w:left="117" w:right="104" w:firstLine="4"/>
              <w:jc w:val="left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没能按时换届，纪律涣散。</w:t>
            </w:r>
          </w:p>
        </w:tc>
      </w:tr>
      <w:tr w14:paraId="30BF8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</w:trPr>
        <w:tc>
          <w:tcPr>
            <w:tcW w:w="832" w:type="dxa"/>
            <w:vMerge w:val="restart"/>
            <w:vAlign w:val="top"/>
          </w:tcPr>
          <w:p w14:paraId="583707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</w:p>
          <w:p w14:paraId="723E4D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  <w:t>三、</w:t>
            </w:r>
          </w:p>
          <w:p w14:paraId="18F40F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  <w:t>日常</w:t>
            </w:r>
          </w:p>
          <w:p w14:paraId="21BFDB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  <w:lang w:val="en-US" w:eastAsia="zh-CN"/>
              </w:rPr>
              <w:t>管理</w:t>
            </w:r>
          </w:p>
        </w:tc>
        <w:tc>
          <w:tcPr>
            <w:tcW w:w="933" w:type="dxa"/>
            <w:vAlign w:val="center"/>
          </w:tcPr>
          <w:p w14:paraId="714E04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财务</w:t>
            </w:r>
          </w:p>
          <w:p w14:paraId="3A77D5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4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管理</w:t>
            </w:r>
          </w:p>
          <w:p w14:paraId="417BDA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5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状况</w:t>
            </w:r>
          </w:p>
        </w:tc>
        <w:tc>
          <w:tcPr>
            <w:tcW w:w="746" w:type="dxa"/>
            <w:vAlign w:val="center"/>
          </w:tcPr>
          <w:p w14:paraId="3ADE60B3">
            <w:pPr>
              <w:spacing w:before="75" w:line="180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15</w:t>
            </w:r>
          </w:p>
        </w:tc>
        <w:tc>
          <w:tcPr>
            <w:tcW w:w="4559" w:type="dxa"/>
            <w:vAlign w:val="center"/>
          </w:tcPr>
          <w:p w14:paraId="173AECD5">
            <w:pPr>
              <w:spacing w:before="34"/>
              <w:ind w:left="117" w:right="104" w:firstLine="4"/>
              <w:jc w:val="left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认真指导学生社团做好社团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经费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使用情况的监督指导工作，督促学生社团每学期向全体成员公布经费使用情况。财务管理规范清晰，所带社团在年度财务审查中获得优秀。</w:t>
            </w:r>
          </w:p>
        </w:tc>
        <w:tc>
          <w:tcPr>
            <w:tcW w:w="4365" w:type="dxa"/>
            <w:vAlign w:val="center"/>
          </w:tcPr>
          <w:p w14:paraId="43757CE2">
            <w:pPr>
              <w:spacing w:before="34"/>
              <w:ind w:left="117" w:right="104" w:firstLine="4"/>
              <w:jc w:val="left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财务审查合格。</w:t>
            </w:r>
          </w:p>
        </w:tc>
        <w:tc>
          <w:tcPr>
            <w:tcW w:w="3645" w:type="dxa"/>
            <w:vAlign w:val="center"/>
          </w:tcPr>
          <w:p w14:paraId="7D59FE6D">
            <w:pPr>
              <w:spacing w:before="34"/>
              <w:ind w:left="117" w:right="104" w:firstLine="4"/>
              <w:jc w:val="left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财务审查不合格。</w:t>
            </w:r>
          </w:p>
        </w:tc>
      </w:tr>
      <w:tr w14:paraId="19B85D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5" w:hRule="atLeast"/>
        </w:trPr>
        <w:tc>
          <w:tcPr>
            <w:tcW w:w="832" w:type="dxa"/>
            <w:vMerge w:val="continue"/>
            <w:vAlign w:val="top"/>
          </w:tcPr>
          <w:p w14:paraId="71C4FF8A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933" w:type="dxa"/>
            <w:vAlign w:val="center"/>
          </w:tcPr>
          <w:p w14:paraId="58C46D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4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活动</w:t>
            </w:r>
          </w:p>
          <w:p w14:paraId="4191E1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4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指导</w:t>
            </w:r>
          </w:p>
        </w:tc>
        <w:tc>
          <w:tcPr>
            <w:tcW w:w="746" w:type="dxa"/>
            <w:vAlign w:val="center"/>
          </w:tcPr>
          <w:p w14:paraId="3DB3E6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0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20</w:t>
            </w:r>
          </w:p>
        </w:tc>
        <w:tc>
          <w:tcPr>
            <w:tcW w:w="4559" w:type="dxa"/>
            <w:vAlign w:val="center"/>
          </w:tcPr>
          <w:p w14:paraId="507557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每学期指导5次或以上的学生社团活动，每学期随队指导3次或以上的学生社团活动（每次随队指导不少于1小时）。</w:t>
            </w:r>
          </w:p>
        </w:tc>
        <w:tc>
          <w:tcPr>
            <w:tcW w:w="4365" w:type="dxa"/>
            <w:vAlign w:val="center"/>
          </w:tcPr>
          <w:p w14:paraId="08B2D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每学期指导3次或以上的学生社团活动，每学期随队指导1次或以上的学生社团活动（每次随队指导不少于1小时）。</w:t>
            </w:r>
          </w:p>
        </w:tc>
        <w:tc>
          <w:tcPr>
            <w:tcW w:w="3645" w:type="dxa"/>
            <w:vAlign w:val="center"/>
          </w:tcPr>
          <w:p w14:paraId="25054D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不能达到每学期指导3次或以上的学生社团活动及每学期随队指导1次或以上的学生社团活动的要求（每次随队指导不少于1小时）。</w:t>
            </w:r>
          </w:p>
        </w:tc>
      </w:tr>
      <w:tr w14:paraId="35D236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832" w:type="dxa"/>
            <w:vMerge w:val="continue"/>
            <w:vAlign w:val="top"/>
          </w:tcPr>
          <w:p w14:paraId="0A920AC2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933" w:type="dxa"/>
            <w:vAlign w:val="center"/>
          </w:tcPr>
          <w:p w14:paraId="6C2E39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会议</w:t>
            </w:r>
          </w:p>
          <w:p w14:paraId="5E68F8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4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培训</w:t>
            </w:r>
          </w:p>
        </w:tc>
        <w:tc>
          <w:tcPr>
            <w:tcW w:w="746" w:type="dxa"/>
            <w:vAlign w:val="center"/>
          </w:tcPr>
          <w:p w14:paraId="254B95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0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15</w:t>
            </w:r>
          </w:p>
        </w:tc>
        <w:tc>
          <w:tcPr>
            <w:tcW w:w="4559" w:type="dxa"/>
            <w:vAlign w:val="center"/>
          </w:tcPr>
          <w:p w14:paraId="24E037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每年度组织 2 次或以上的学生社团会员大会，每学期组织 3 次或以上的学生社团骨干会议，每学期上 3 次或以上的培训课（每次课不少于40 分钟）。</w:t>
            </w:r>
          </w:p>
        </w:tc>
        <w:tc>
          <w:tcPr>
            <w:tcW w:w="4365" w:type="dxa"/>
            <w:vAlign w:val="center"/>
          </w:tcPr>
          <w:p w14:paraId="687E31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每年度组织 1 次或以上的学生社团会员大会，每学期组织 1 次或以上的学生社团骨干会议，每学期上 1 次或以上的培训课（每次课不少于 40 分钟）。</w:t>
            </w:r>
          </w:p>
        </w:tc>
        <w:tc>
          <w:tcPr>
            <w:tcW w:w="3645" w:type="dxa"/>
            <w:vAlign w:val="center"/>
          </w:tcPr>
          <w:p w14:paraId="08E3C8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right="0" w:firstLine="0"/>
              <w:jc w:val="left"/>
              <w:textAlignment w:val="baseline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不能达到每年度组织 1 次或 以上的学生社团会员大会、每学期组织 1 次或以上的学 生社团骨干会议及每学期上 1 次或以上的培训课的要求（每次课不少于 40 分钟）。</w:t>
            </w:r>
          </w:p>
        </w:tc>
      </w:tr>
    </w:tbl>
    <w:p w14:paraId="2E57B9D5">
      <w:pPr>
        <w:rPr>
          <w:rFonts w:ascii="宋体"/>
          <w:sz w:val="21"/>
        </w:rPr>
      </w:pPr>
    </w:p>
    <w:p w14:paraId="0D96448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431655"/>
    <w:rsid w:val="07431655"/>
    <w:rsid w:val="22C7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 w:val="0"/>
      <w:spacing w:after="120" w:afterLines="0" w:afterAutospacing="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 2"/>
    <w:basedOn w:val="2"/>
    <w:next w:val="1"/>
    <w:qFormat/>
    <w:uiPriority w:val="0"/>
    <w:pPr>
      <w:widowControl w:val="0"/>
      <w:spacing w:after="120" w:afterLines="0" w:afterAutospacing="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1045</Words>
  <Characters>1055</Characters>
  <Lines>0</Lines>
  <Paragraphs>0</Paragraphs>
  <TotalTime>0</TotalTime>
  <ScaleCrop>false</ScaleCrop>
  <LinksUpToDate>false</LinksUpToDate>
  <CharactersWithSpaces>1081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2026-06-15T12:50:00Z</dcterms:created>
  <dc:creator>易姗姗</dc:creator>
  <cp:lastModifiedBy>易姗姗</cp:lastModifiedBy>
  <dcterms:modified xsi:type="dcterms:W3CDTF">2026-06-15T12:53:23Z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D0A44350569F43AA886F1B344651FA6B_11</vt:lpwstr>
  </property>
  <property fmtid="{D5CDD505-2E9C-101B-9397-08002B2CF9AE}" pid="4" name="KSOTemplateDocerSaveRecord">
    <vt:lpwstr>eyJoZGlkIjoiZDZkMjNlOThlZTIyY2IyZjUzMmE2ZmRhNmVkZTU0NTUiLCJ1c2VySWQiOiIxNjE2OTQxNzE0In0=</vt:lpwstr>
  </property>
</Properties>
</file>